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0"/>
        <w:ind w:left="0" w:right="0" w:firstLine="0"/>
        <w:jc w:val="left"/>
        <w:spacing w:before="0" w:after="0" w:line="4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40"/>
        </w:rPr>
      </w:r>
      <w:r/>
    </w:p>
    <w:p>
      <w:pPr>
        <w:pStyle w:val="730"/>
        <w:ind w:left="0" w:right="0" w:firstLine="0"/>
        <w:jc w:val="center"/>
        <w:spacing w:before="0" w:after="0" w:line="4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Информация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 ходе реализации национальной программы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«Цифровая экономика Российской Федерации»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 Республике Дагестан по состоянию на 01.01.2024 года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10"/>
          <w:highlight w:val="white"/>
        </w:rPr>
        <w:t xml:space="preserve"> 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целях реализации Указа Президента Российской Федерации от 7 мая 2018 г.  № 204 «О национальных целях и стратегических задачах развития Российской Федерации на период до 2024 года», в рамках федеральных проектов «Цифровые технологии», «Цифровое государств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енное управление», «Информационная безопасность», «Информационная инфраструктура» национальной программы «Цифровая экономика Российской Федерации» разработаны соответствующие региональные проекты Республики Дагестан, утвержденные Президиумом Совета при Гла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ве Республики Дагестан по стратегическому развитию и проектной деятельности в Республике Дагестан.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системе «Электронный бюджет» заключены соглашения о реализации региональных проектов «Информационная безопасность», «Информационная инфраструктура», «Цифровые технологии», «Цифровое государственное управление». 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Бюджет проекта в 2023 году: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всего – 0 млн рублей, в том числе: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Федеральный бюджет: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 млн рублей.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Региональный бюджет: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 млн рублей.</w:t>
      </w:r>
      <w:r/>
    </w:p>
    <w:p>
      <w:pPr>
        <w:ind w:left="0" w:right="0" w:firstLine="708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I. Региональный проект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«Цифровые технологии»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функциональные заказчики: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Министерство цифрового развития Республики Дагестан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планируемые к достижению результаты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Р1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. Содействие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блики Дагестан, для обеспечения их участия в конкурсных отборах на получение государственной поддержки в форме грантов из средств федерального бюджета в рамках федерального проекта;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Р2.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Проведение информационной кампании о действующих конкурсных отборах на получение государственной поддержки в средствах массовой информации Республики Дагестан.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достижения результатов планируется регулярная информационная работа с ИТ-сообществом о действующей системе мер поддержки сферы информационных технологий, в которую входит грантовое финансирование на реализацию ИТ-проектов, льготы для аккредитованных 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мпаний, а также меры, предусмотренные Указом Президента Российской Федерации от 2 марта 2022 года № 83. Методическое сопровождение компаний в вопросах получения грантовой поддержки. Проработка вопроса внедрения дополнительных региональных мер поддержки ИТ-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отрасли. Размещение в республиканских СМИ информации о существующих мерах поддержки ИТ-отрасли.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заключение соглашений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системе «Электронный бюджет» заключены индикативные соглашения от 17 июля 2019 г. № 071-2019-D5001-8</w:t>
      </w:r>
      <w:r>
        <w:rPr>
          <w:rFonts w:ascii="Arial" w:hAnsi="Arial" w:eastAsia="Arial" w:cs="Arial"/>
          <w:color w:val="000000"/>
          <w:sz w:val="22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23.12.2020 г. № 071-2019-D5001-8/0.1, от 11.12.2020 г. № 071-2019-D5001-8/1, от 17.12.2021 № 071-2019-D5001-8/2 о реализации регионального проекта «Цифровые технологии (Республика Дагестан)» на территории Республики Дагестан.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0"/>
        </w:rPr>
        <w:t xml:space="preserve"> </w:t>
      </w: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бюджет регионального проекта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Всего – 0,0 млн руб., в том числе:</w:t>
      </w:r>
      <w:r/>
    </w:p>
    <w:p>
      <w:pPr>
        <w:ind w:left="0" w:right="0" w:firstLine="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0,0 млн руб. – средства федерального бюджета;</w:t>
      </w:r>
      <w:r/>
    </w:p>
    <w:p>
      <w:pPr>
        <w:ind w:left="0" w:right="0" w:firstLine="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0,0 млн руб. – средства республиканского бюджета.</w:t>
      </w:r>
      <w:r/>
    </w:p>
    <w:p>
      <w:pPr>
        <w:ind w:left="0" w:right="0" w:firstLine="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Кассовое исполнение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 0%.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проводимая работа, достигнутые результаты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Р1,Р2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Министерством цифрового развития Республики Дагестан направлены письма в адреса ИТ-компаний  о начале конкурсного отбора технологических компаний для участия в акселерационной программе Спринт, реализуемой Фондом развития интернет-инициатив при поддержке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Минцифры России в рамках федерального проекта «Цифровые технологии» от 20.01.2023 № 09-09-179/23, о начале приема заявок на возмещение расходов на продвижение ИТ-продукта от 08.02.2023 № 09-05/1-425/23.</w:t>
      </w:r>
      <w:r/>
    </w:p>
    <w:p>
      <w:pPr>
        <w:ind w:left="0" w:right="0" w:firstLine="567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Также в адрес Агентства информации и печати Республики Дагестан </w:t>
        <w:br/>
        <w:t xml:space="preserve">  (от 10.04.2023 № 09-05/1-1254/23) и в адреса ИТ-компаний (от 10.04.2023 № 09-05/1-1258/23) направлены письма о действующих конкурсных отборах на получение государственной поддержки в форме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грантов на разработку и внедрение российских цифровых решений.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ind w:left="0" w:right="0" w:firstLine="708"/>
        <w:jc w:val="both"/>
        <w:spacing w:after="0" w:line="253" w:lineRule="atLeast"/>
        <w:tabs>
          <w:tab w:val="left" w:pos="9355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адрес ИТ-компаний РД направлены письма, информирующие о проведении Фондом развития интернет-инициатив (ФРИИ) восьмого конкурсного отбора в акселератор Спринт  № 09-05/1-1687/23 от 11.05.2023, № 09-05/1-3236/23 от 15.08.2023, о необходимости подтверждени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государственной аккредитации ИТ-компаний № 09-05/1-1609/23 от 05.05.2023.</w:t>
      </w:r>
      <w:r/>
    </w:p>
    <w:p>
      <w:pPr>
        <w:ind w:left="0" w:right="0" w:firstLine="708"/>
        <w:jc w:val="both"/>
        <w:spacing w:after="0" w:line="253" w:lineRule="atLeast"/>
        <w:tabs>
          <w:tab w:val="lef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Системообразующим организациям Республики Дагестан направлено письмо об осуществлении приема заявок на предоставление грантов организациям-заказчикам сервисов и платформенных решений, созданных на базе цифровых технологий, которые проводят пилотное внедрен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ие отечественных продуктов № 09-05/1-3152/23 от 09.08.2023.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53" w:lineRule="atLeast"/>
        <w:tabs>
          <w:tab w:val="lef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инцифры РД направлено письмо в адрес коммерческих организаций, осуществляющих деятельность в области информационно-коммуникационных технологий Республики Дагестан о направлении в ФНС согласия на раскрытие налоговой тайны для сохранения аккредитации, а такж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 перечень грантов, действующих на декабрь 2023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53" w:lineRule="atLeast"/>
        <w:tabs>
          <w:tab w:val="lef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Также оказана консультационная поддержка ООО ТД «Майдан» о действующих грантах по состоянию на декабрь 2023 года и ООО «Айтраст» о направлении согласия на раскрытие налоговой тайны в ФНС России.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53" w:lineRule="atLeast"/>
        <w:tabs>
          <w:tab w:val="lef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Кроме того, на официальном сайте Минцифры РД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hyperlink r:id="rId9" w:tooltip="https://dagestan.digital/" w:history="1">
        <w:r>
          <w:rPr>
            <w:rStyle w:val="927"/>
            <w:rFonts w:ascii="Times New Roman" w:hAnsi="Times New Roman" w:eastAsia="Times New Roman" w:cs="Times New Roman"/>
            <w:sz w:val="28"/>
            <w:szCs w:val="28"/>
            <w:highlight w:val="none"/>
          </w:rPr>
          <w:t xml:space="preserve">https://dagestan.digital/</w:t>
        </w:r>
        <w:r>
          <w:rPr>
            <w:rStyle w:val="927"/>
            <w:rFonts w:ascii="Times New Roman" w:hAnsi="Times New Roman" w:eastAsia="Times New Roman" w:cs="Times New Roman"/>
            <w:sz w:val="28"/>
            <w:szCs w:val="28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разделе «Меры поддержки ИТ отрасли» публикуется актуальная информация о мерах поддержки ИТ-компаний.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65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Указом Главы Республики Дагестан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от 27 декабря 2023 г. № 232 </w:t>
        <w:br/>
        <w:t xml:space="preserve">«О внесении изменений в Указ Главы Республики Дагестан от 14 июля 2015 г. № 151 «О грантах Главы Республики Дагестан» и в перечень грантов Главы Республики Дагестан и их размеры, утвержденные этим Указом»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приняты  в области информационно-коммуникационных технологий 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 гранта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на создание новых и развитие действующих платформ на базе цифровых технологий и 2 гранта на создание новых и развитие действующих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коммуникационных 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социальных сервисов</w:t>
      </w:r>
      <w:r>
        <w:rPr>
          <w:highlight w:val="whit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 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заключение контрактов</w:t>
      </w:r>
      <w:r/>
    </w:p>
    <w:p>
      <w:pPr>
        <w:ind w:left="0" w:right="0" w:firstLine="709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-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имеющиеся проблемы и сроки их решения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-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оставшиеся мероприятия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      -</w:t>
      </w:r>
      <w:r/>
    </w:p>
    <w:p>
      <w:pPr>
        <w:ind w:left="0" w:right="0" w:firstLine="709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участие МО в реализации проекта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Все МО Республики Дагестан</w:t>
      </w:r>
      <w:r/>
    </w:p>
    <w:p>
      <w:pPr>
        <w:ind w:left="0" w:right="0" w:firstLine="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II. Региональный проект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«Цифровое государственное управление»</w:t>
      </w:r>
      <w:r/>
    </w:p>
    <w:p>
      <w:pPr>
        <w:ind w:left="1149" w:right="0" w:hanging="1149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  ·    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функциональные заказчики:</w:t>
      </w:r>
      <w:r/>
    </w:p>
    <w:p>
      <w:pPr>
        <w:ind w:left="20" w:right="0" w:hanging="2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Министерство цифрового развития Республики Дагестан</w:t>
      </w:r>
      <w:r/>
    </w:p>
    <w:p>
      <w:pPr>
        <w:ind w:left="326" w:right="0" w:firstLine="0"/>
        <w:jc w:val="both"/>
        <w:spacing w:before="0" w:after="0" w:line="253" w:lineRule="atLeast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       </w:t>
      </w: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     планируемые к достижению результаты</w:t>
      </w:r>
      <w:r/>
    </w:p>
    <w:p>
      <w:pPr>
        <w:ind w:left="0" w:right="0" w:firstLine="0"/>
        <w:jc w:val="both"/>
        <w:spacing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ab/>
        <w:t xml:space="preserve">Р1.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Обеспечение использования Облачной цифровой платформы обеспечения оказания государственных (муниципальных) услуг и сервисов, в том числе в электронном виде;</w:t>
      </w:r>
      <w:r/>
    </w:p>
    <w:p>
      <w:pPr>
        <w:ind w:left="0" w:right="0" w:firstLine="0"/>
        <w:jc w:val="both"/>
        <w:spacing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       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Республике Дагестан проведена работа по переводу в электронный формат 82 региональных массовых социально значимых услуг предоставляемых посредством Единого портала государственных услуг (в 17 органах исполнительной власти и 52 администрациях муниципальны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 районов и городских округов). 66 из 82 услуг предоставляются посредством Облачной цифровой платформы обеспечения оказания государственных (муниципальных) услуг и сервисов (далее – ПГС), оставшиеся 16 услуг предоставляются посредством ведомственных информ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ационных систем. </w:t>
      </w:r>
      <w:r/>
    </w:p>
    <w:p>
      <w:pPr>
        <w:ind w:left="0" w:right="0" w:firstLine="0"/>
        <w:jc w:val="both"/>
        <w:spacing w:after="0" w:line="253" w:lineRule="atLeast"/>
        <w:tabs>
          <w:tab w:val="left" w:pos="567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 случае увеличения количества массовых социально значимых услуг в федеральном перечне, Минцифры РД совместно с ОИВ и ОМСУ РД будет проведена работа по обеспечению перевода массовых социально значимых услуг в электронный формат.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Планируется проведение популяризации процесса получения государственных и муниципальных услуг посредством теле и радиовещаний, информирования населения через официальные сай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ты и информационные каналы в социальных сетях, в том числе услуг по аттестации педагогических работников, записи в образовательные организации среднего профессионального образования, записи в детский сад, организации отдыха детей в каникулярное время и др.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Р2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Обеспечение взаимодействия граждан и органов государственной власти с использованием платформы обратной связи;</w:t>
      </w:r>
      <w:r/>
    </w:p>
    <w:p>
      <w:pPr>
        <w:ind w:left="0" w:right="0" w:firstLine="0"/>
        <w:jc w:val="both"/>
        <w:spacing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В текущем году Минцифры РД совместно с Центром управления регионом Республики Дагестан координирует работу органов исполнительной власти и органов местного самоуправления Республики Дагестан по подключению ЦЗН, ЦСОН, МФЦ, УО и РСО к Платформе обратной свя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зи (ПОС).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ind w:left="0" w:right="0" w:firstLine="0"/>
        <w:jc w:val="both"/>
        <w:spacing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Р3.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 Информирование о доступных электронных услугах и сервисах, а также о преимуществах использования механизмов получения государственных и муниципальных услуг в электронной форме.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заключение соглашений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системе «Электронный бюджет» заключено индикативное соглашение от 17 июля 2019 г. № 071-2019-D6001-5, дополнительные соглашения от 03.09.2019 г. № 071-2019-D6001-5/1, от 09 декабря 2019 г. № 071-2019-D6001-5/2, от 12 декабря 2019 г. № 071-2019-D6001-5/3,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 23.12.2020 г. № 071-2019-D6001-5/3.1, от 16.12.2020 г. № 071-2019-D6001-5/4 о реализации регионального проекта «Цифровые государственное управление (Республика Дагестан)» на территории Республики Дагестан, соглашение о предоставлении субсидии из федера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льного бюджета от 24.12.2019 г. №071-09-2020-097, дополнительное соглашение от 30.04.2020 г. №071-09-2020-097/1.</w:t>
      </w:r>
      <w:r/>
    </w:p>
    <w:p>
      <w:pPr>
        <w:ind w:left="1291" w:right="0" w:hanging="1291"/>
        <w:jc w:val="both"/>
        <w:spacing w:before="240" w:after="240" w:line="253" w:lineRule="atLeast"/>
        <w:tabs>
          <w:tab w:val="left" w:pos="611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планируемые к достижению показатели</w:t>
        <w:tab/>
      </w:r>
      <w:r/>
    </w:p>
    <w:tbl>
      <w:tblPr>
        <w:tblStyle w:val="80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190"/>
        <w:gridCol w:w="891"/>
        <w:gridCol w:w="825"/>
        <w:gridCol w:w="848"/>
        <w:gridCol w:w="2169"/>
      </w:tblGrid>
      <w:tr>
        <w:trPr>
          <w:trHeight w:val="62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№</w:t>
            </w:r>
            <w:r/>
          </w:p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п/п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Показатели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План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Факт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%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Примечание</w:t>
            </w:r>
            <w:r/>
          </w:p>
        </w:tc>
      </w:tr>
      <w:tr>
        <w:trPr>
          <w:trHeight w:val="18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 105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highlight w:val="white"/>
              </w:rPr>
              <w:t xml:space="preserve">Количество региональных МСЗУ, переведенных в эл. формат – 82.</w:t>
            </w:r>
            <w:r/>
          </w:p>
          <w:p>
            <w:pPr>
              <w:ind w:left="0" w:right="0" w:firstLine="0"/>
              <w:spacing w:after="0" w:line="253" w:lineRule="atLeast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highlight w:val="white"/>
              </w:rPr>
              <w:t xml:space="preserve">Общее количество региональных МСЗУ – 8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</w:rPr>
              <w:t xml:space="preserve">2</w:t>
            </w:r>
            <w:r/>
          </w:p>
        </w:tc>
      </w:tr>
      <w:tr>
        <w:trPr>
          <w:trHeight w:val="19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(ЕПГУ), балл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4,14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Информация из системы Ситуационного центра Минцифры России на отчетную дату</w:t>
            </w:r>
            <w:r/>
          </w:p>
        </w:tc>
      </w:tr>
      <w:tr>
        <w:trPr>
          <w:trHeight w:val="233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личества таких услуг, %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41,5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Количество обращений за получением региональных МСЗУ в электронном виде с использованием ЕПГУ за период с 01.01.23 -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512513</w:t>
            </w:r>
            <w:r/>
          </w:p>
          <w:p>
            <w:pPr>
              <w:ind w:left="0" w:right="0" w:firstLine="0"/>
              <w:spacing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Общее количество обращений за получением региональных МСЗУ во всех формах обращений за период с 01.01.23 -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1 235 610</w:t>
            </w:r>
            <w:r/>
          </w:p>
        </w:tc>
      </w:tr>
      <w:tr>
        <w:trPr>
          <w:trHeight w:val="22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Доля зарегистрированных пользователей ЕПГУ, использующих сервисы ЕПГУ в текущем году в целях получения государственных и муниципальных услуг в электронном виде, от общего числа зарегистрированных пользователей ЕПГУ, %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50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73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Отчет Ситуационного центра Минцифры России</w:t>
            </w:r>
            <w:r/>
          </w:p>
        </w:tc>
      </w:tr>
      <w:tr>
        <w:trPr>
          <w:trHeight w:val="15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Количество реализованных на базе единой платформы сервисов обеспечения функций органов государственной власти и органов местного самоуправления, в том числе типовых функций, штука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 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Количество региональных услуг из Перечня МСЗУ, для которых реализован процесс предоставления на ЕПГУ (ПГС) </w:t>
            </w:r>
            <w:r/>
          </w:p>
          <w:p>
            <w:pPr>
              <w:ind w:left="0" w:right="0" w:firstLine="0"/>
              <w:spacing w:after="0" w:line="253" w:lineRule="atLeast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 Количество региональных услуг из Перечня МСЗУ, предоставляемых посредством ВИС  (ПГС-66 +  ВИС-16 = 82)</w:t>
            </w:r>
            <w:r/>
          </w:p>
        </w:tc>
      </w:tr>
      <w:tr>
        <w:trPr>
          <w:trHeight w:val="212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Количество государственных услуг, предоставляемых органами государственной власти в реестровой модели и/или в проактивном режиме с предоставлением результата в электронном виде на ЕПГУ, условная единица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82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Равен количеству региональных услуг из Перечня МСЗУ, которые отвечают критериям доступности в электронном виде, что одновременно означает соответствие реестровой модели предоставления с результатом на ЕПГУ или РПГУ = 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</w:t>
            </w:r>
            <w:r/>
          </w:p>
        </w:tc>
      </w:tr>
      <w:tr>
        <w:trPr>
          <w:trHeight w:val="6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Количество видов сведений,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функций, в том числе коммерческих организаций в соответствии с законо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дательством, условная единица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  <w:t xml:space="preserve">В регионе создана и функционирует витрина данных, обеспечивающая информационное взаимодействия при предоставлении в электронной форме услуги «Запись на прием к врачу» и «Электронный журнал»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none"/>
              </w:rPr>
              <w:t xml:space="preserve">. Развернута витрина данных для ГИР ВУ, по линии Минздрава РД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highlight w:val="white"/>
              </w:rPr>
            </w:r>
            <w:r/>
          </w:p>
        </w:tc>
      </w:tr>
      <w:tr>
        <w:trPr>
          <w:trHeight w:val="6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Доля органов государственной власти, использующих государственные облачные сервисы и инфраструктуру, процент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  <w:tr>
        <w:trPr>
          <w:trHeight w:val="6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41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 процент</w:t>
              <w:tab/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93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 108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 </w:t>
            </w:r>
            <w:r/>
          </w:p>
        </w:tc>
      </w:tr>
    </w:tbl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10"/>
        </w:rPr>
        <w:t xml:space="preserve"> </w:t>
      </w: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проводимая работа, достигнутые результаты</w:t>
      </w:r>
      <w:r/>
    </w:p>
    <w:p>
      <w:pPr>
        <w:ind w:left="0" w:right="0" w:firstLine="709"/>
        <w:jc w:val="both"/>
        <w:spacing w:after="0" w:line="253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Р2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рамках обеспечения взаимодействия граждан с органами власти Республики Дагестан с использование единого цифрового окна обратной связи, обеспечена регистрация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 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Платформе обратной связи 3979 организаций и создано 4796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ли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чных кабинетов сотрудников, ответст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венных за своевременное рассмотрение обращений граждан.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253" w:lineRule="atLeast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 перио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д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с 1 января по 31 декабря 2023 года через Платформу обратной связи в Республике Дагестан было отправлено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highlight w:val="none"/>
        </w:rPr>
        <w:t xml:space="preserve">5 241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 сообщение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709"/>
        <w:jc w:val="both"/>
        <w:spacing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Р3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2023 году Минцифры РД проведены мероприятия, направленные на популяризацию получения государственных и муниципальных услуг в электронном формате и освещению преимуществ получения электронных услуг в  электронных СМИ, в социальных сетях.</w:t>
      </w:r>
      <w:r>
        <w:rPr>
          <w:rFonts w:ascii="Arial" w:hAnsi="Arial" w:eastAsia="Arial" w:cs="Arial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Разработаны методические рекомендации по популяризации возможности получения массовых социально значимых услуг в электронной форме на Едином портале государственных и муниципальных услуг (функций) и доведены до всех ОИВ и ОМСУ РД, оказывающих массовые соци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ально значимые услуги. </w:t>
      </w:r>
      <w:r/>
    </w:p>
    <w:p>
      <w:pPr>
        <w:ind w:left="0" w:right="0" w:firstLine="709"/>
        <w:jc w:val="both"/>
        <w:spacing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Также органами исполнительной власти Республики Дагестан и органами местного самоуправления Республики Дагестан утверждены ведомственные Планы мероприятий по популяризации получения государственных и муниципальных услуг в электронной форме на ЕПГУ. </w:t>
      </w:r>
      <w:r/>
    </w:p>
    <w:p>
      <w:pPr>
        <w:ind w:left="0" w:right="0" w:firstLine="709"/>
        <w:jc w:val="both"/>
        <w:spacing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Совместно с Минобрнауки РД создана межведомственная рабочая группа по координации механизма получения государственных и муниципальных услуг в электронной форме и информирования граждан о преимуществах получения государственных и муниципальных услуг сферы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бразования.</w:t>
      </w:r>
      <w:r/>
    </w:p>
    <w:p>
      <w:pPr>
        <w:ind w:left="0" w:right="0" w:firstLine="709"/>
        <w:jc w:val="both"/>
        <w:spacing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заключение контрактов</w:t>
      </w:r>
      <w:r/>
    </w:p>
    <w:p>
      <w:pPr>
        <w:ind w:left="0" w:right="0" w:firstLine="434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 -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имеющиеся проблемы и сроки их решения</w:t>
      </w:r>
      <w:r/>
    </w:p>
    <w:p>
      <w:pPr>
        <w:ind w:left="0" w:right="0" w:firstLine="434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 -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оставшиеся мероприятия</w:t>
      </w:r>
      <w:r/>
    </w:p>
    <w:p>
      <w:pPr>
        <w:ind w:left="0" w:right="0" w:firstLine="434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 -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участие МО в реализации проекта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8"/>
        </w:rPr>
        <w:t xml:space="preserve">             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Все МО Республики Дагестан</w:t>
      </w:r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III. Региональный проект</w:t>
      </w:r>
      <w:r/>
    </w:p>
    <w:p>
      <w:pPr>
        <w:ind w:left="0" w:right="0" w:firstLine="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«Информационная безопасность»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</w:t>
      </w: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функциональные заказчики: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Министерство цифрового развития Республики Дагестан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планируемые к достижению результаты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Р1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. Содействие использованию преимущественно отечественного программного обеспечения органами государственной власти Российской Федерации, органами местного самоуправления и организациями, находящимися в собственности субъекта Российской Федерации и муниципа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льной собственности.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Получение лицензий на российское программное обеспечение для общеобразовательных учреждений Республики Дагестан. Координация работы по переходу органов государственной власти Республики Дагестан на импортозамещение программного обеспечения.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Р2.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Повышение уровня информационной безопасности республиканских объектов критической информационной инфраструктуры.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рамках мероприятия ежеквартально проводится работа по актуализации сведении о проведенной работе организациями и предприятиями Республики Дагестан по исполнению требований Федерального закона от 26.07.2017 г. № 187-ФЗ «О безопасности критической информац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ионной инфраструктуры Российской Федерации». Также, планируется проведение в 2023 году двух заседаний Правительственной комиссии Республики Дагестан по защите информации, на которых будут рассматриваться вопросы обеспечения безопасности объектов критическо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й информационной инфраструктуры Республики Дагестан.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Р3.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Обеспечение безвозмездного доступа гражданам Российской Федерации к использованию российских средств шифрования для электронного взаимодействия с органами власти Республики Дагестан.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Проработка решений, обеспечивающих возможность использования российских криптографических алгоритмов и средств шифрования при электронном взаимодействии органов исполнительной власти Республики Дагестан.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Р4.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Получение органами власти Республики Дагестан сертификатов безопасности национального удостоверяющего центра.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Координация работы и содействие в получении органами власти Республики Дагестан сертификатов безопасности Национального удостоверяющего центра.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0"/>
        </w:rPr>
        <w:t xml:space="preserve"> </w:t>
      </w: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заключение соглашений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системе «Электронный бюджет» заключено индикативное соглашение от 18 июля 2019 г. № 071-2019-D4001-7, дополнительное соглашение от 11 сентября 2019 г. № 071-2019-D4001-7/1, от 22.12.2020 г. № 071-2019-D4001-7/1.1, от 08.12.2020 г. № 071-2019-D4001-7/2,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 10.12.2021 № 071-2019-D4001-7/3, от 28.11.2022 г. № 071-2019-D4001-7/4  о реализации регионального проекта «Информационная безопасность (Республика Дагестан)» на территории Республики Дагестан.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0"/>
        </w:rPr>
        <w:t xml:space="preserve"> </w:t>
      </w:r>
      <w:r/>
    </w:p>
    <w:p>
      <w:pPr>
        <w:ind w:left="0" w:right="0" w:firstLine="0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бюджет регионального проекта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Всего – 0 млн руб., в том числе: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 млн руб. – средства федерального бюджета;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 млн руб. – средства республиканского бюджета.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Кассовое исполнение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 0 %.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Arial" w:hAnsi="Arial" w:eastAsia="Arial" w:cs="Arial"/>
          <w:color w:val="000000"/>
          <w:sz w:val="24"/>
        </w:rPr>
        <w:t xml:space="preserve">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проводимая работа, достигнутые результаты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Р1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Минцифры РД получены 10987 лицензий на российскую операционную систему для общеобразовательных учреждений муниципальных районов и городских округов Республики Дагестан. Полученные лицензии доведены до отв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етственных специалистов администраций городских округов.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 анализ закупленного в 2023 году органами исполнительной власти и органами местного самоуправления Республики Дагестан программного обеспечения для расчета показателя «Доля расходов на закупки и/или аренду отечественного программного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беспечения и платформ от общих расходов на закупку или аренду программного обеспечения». Значение показателя в 2023 году составило 99,9%. 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исполнение пункта 3 Перечня поручений заместителя Председателя Правительства Российской Федерации Д.Н. Чернышенко № ДЧ-П10-16761 от 05.10.2022  проведена работа по переводу государственных служащих Республики Дагестан на единую систему коммуникаций на ба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 типового «Автоматизированного рабочего места для госслужащих» (далее – КС «АРМ ГС»). Все органы исполнительной власти Республики Дагестан получили доступ к КС «АРМ ГС».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Р2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Проведен анализ исполнения органами исполнительной власти, организациями и предприятиями Республики Дагестан требования Федерального закона от 27.07.2017 г. № 187-ФЗ «О безопасности критической информационной инфраструктуры Российской Федерации» за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2023 год.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ходе анализа выявлены дополнительные субъекты КИИ.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Работа в данном направлении продолжается.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 июня 2023 года и 30 ноября 2023 года проведены заседания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равительственной комиссии Республики Дагестан по защите информации, в рамках которого рассматривались вопросы обеспечения безопасности объектов КИИ. По итогам заседания подготовлены протоколы с поручениями органам исполнительной власти Республики Дагестан.</w:t>
      </w:r>
      <w:r/>
    </w:p>
    <w:p>
      <w:pPr>
        <w:ind w:left="0" w:right="0" w:firstLine="709"/>
        <w:jc w:val="both"/>
        <w:spacing w:after="0" w:line="25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25 - 29 сентября 2023 года проведена совместная с Управлением ФСТЭК России по Южному и Северо-Кавказскому федеральным округам тренировка по отработке действий, выполняемых при установлении уровня опасности проведения целевых компьютерных атак на объекты кр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итической информационной инфраструктуры, в ходе которой Минцифры РД, Минздрав РД, Минтранс РД и Минобрнауки РД проведены мероприятия по обеспечению безопасности своих объектов КИИ и государственных информационных систем.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рамках Федерального закона от 26 июля 2017 года № 187-ФЗ «О безопасности критической информационной инфраструктуры Российской Федерации» (далее – 187-ФЗ)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Минцифрой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РД на регулярной основе проводится анализ реализации субъектами критической информационной инфраст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руктуры (далее – КИИ) Республики Дагестан мероприятий по категорированию своих объектов КИИ, оказывается методическая и консультативная помощь. Кроме того, субъектам КИИ направлено более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письменных обращений о необходимости категорирования объектов КИИ.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ходе проводимого анализа в Республике Дагестан на сегодняшний день выявлено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263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субъектов КИИ. При этом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19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субъектах КИИ созданы комиссии по категорированию. По результатам отработки комиссий по категорировани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106 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бъектам КИИ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присвоена значимая категория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1258 об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ъектам КИИ – незначимая категория, из которых: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сфере здравоохранения: субъектов КИИ – 168, объектов КИИ – 1228;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сфере связи: субъектов КИИ – 23, объектов КИИ – 16;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сфере транспорта: субъектов КИИ – 15, объектов КИИ – 12;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сфере энергетики: субъектов КИИ – 13, объектов КИИ – 37;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сфере топливно-энергетического: субъектов КИИ – 12, объектов КИИ – 2;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сфере оборонно-промышленного: субъектов КИИ – 13, объектов КИИ – 40;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сфере горнодобывающая промышленность: субъектов КИИ – 1, объектов КИИ – 5;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сфере науки: субъектов КИИ – 9, объектов КИИ – 8;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сфере химической промышленности: субъектов КИИ – 3, объекты КИИ не выявлены;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банковской сфере: субъектов КИИ – 5, объектов КИИ – 16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сфере государственной регистрации прав на недвижимое имущество субъектов КИИ – 1, объекты КИИ не выявлены.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white"/>
        </w:rPr>
        <w:t xml:space="preserve">Р3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етодические рекомендации по переходу на использование российских криптографических алгоритмов средств шифрования для взаимодействии между собой, с гражданами и организациями доведены до органов исполнительной власти и органов местного самоуправления Респуб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ики Дагестан. Проведен анализ использования российских криптографических алгоритмов и средств шифрования на веб-серверах органов власти Республики Дагестан, однако сертификаты безопасности Национального удостоверяющего центра установить не удалось. Согласн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полученной информации, на сегодняшний день для использования ГОСТовых сертификатов безопасности необходимо использование специального программного обеспечения, либо веб-серверов отечественной разработки, которые в органах власти Республики Дагестан не уст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овлены. В этой связи органам власти Республики Дагестан рекомендовано использование сертификатов безопасности, полученных посредством единого портала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Р4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роведен анализ возможности использования сертификатов безопасности Национального удостоверяющего центра на информационных ресурсах Республики Дагестан. Ведется проработка решений, обеспечивающих возможность использования российских криптографических алгори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тмов и средств шифрования при электронном взаимодействии органов государственной власти.</w:t>
      </w:r>
      <w:r/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2023 году российские сертификаты безопасности национального удостоверяющего центра получили: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6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национально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политики и делам религий РД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6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транспорта </w:t>
      </w:r>
      <w:r>
        <w:rPr>
          <w:rFonts w:ascii="Times New Roman" w:hAnsi="Times New Roman" w:cs="Times New Roman"/>
          <w:sz w:val="28"/>
          <w:szCs w:val="28"/>
        </w:rPr>
        <w:t xml:space="preserve">и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6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социального развития РД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6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по туризму и народным художественным промыслам РД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6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промышленности и торговли РД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6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город</w:t>
      </w:r>
      <w:r>
        <w:rPr>
          <w:rFonts w:ascii="Times New Roman" w:hAnsi="Times New Roman" w:cs="Times New Roman"/>
          <w:sz w:val="28"/>
          <w:szCs w:val="28"/>
        </w:rPr>
        <w:t xml:space="preserve">ского округа «город</w:t>
      </w:r>
      <w:r>
        <w:rPr>
          <w:rFonts w:ascii="Times New Roman" w:hAnsi="Times New Roman" w:cs="Times New Roman"/>
          <w:sz w:val="28"/>
          <w:szCs w:val="28"/>
        </w:rPr>
        <w:t xml:space="preserve"> Кизляр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6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«город Избербаш»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6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«Магарамкентский район»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6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«Ахтынский район»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7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«Хивский район»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8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«Буйнакский район»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8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Администрация муниципального района «Ногайский район»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6"/>
        <w:numPr>
          <w:ilvl w:val="0"/>
          <w:numId w:val="26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Редакция республиканской газеты «Замана»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Министерством цифрового развития Республики Дагестан получены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оссийские сертификаты безопасности национального удостоверяющего центра</w:t>
      </w:r>
      <w:r>
        <w:rPr>
          <w:rFonts w:ascii="Times New Roman" w:hAnsi="Times New Roman" w:cs="Times New Roman"/>
          <w:sz w:val="28"/>
          <w:szCs w:val="28"/>
        </w:rPr>
        <w:t xml:space="preserve"> на республиканский домен e-dag.ru и на домен официального сайта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dagestan.digital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заключение контрактов</w:t>
      </w:r>
      <w:r/>
    </w:p>
    <w:p>
      <w:pPr>
        <w:ind w:left="726" w:right="0" w:hanging="726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                - 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0"/>
        </w:rPr>
        <w:t xml:space="preserve"> 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имеющиеся проблемы и сроки их решения</w:t>
      </w:r>
      <w:r/>
    </w:p>
    <w:p>
      <w:pPr>
        <w:ind w:left="866" w:right="0" w:hanging="866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                -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оставшиеся мероприятия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                -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участие МО в реализации проекта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             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Все МО Республики Дагестан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ind w:left="0" w:right="0" w:firstLine="70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IV. Региональный проект</w:t>
      </w:r>
      <w:r/>
    </w:p>
    <w:p>
      <w:pPr>
        <w:ind w:left="0" w:right="0" w:firstLine="700"/>
        <w:jc w:val="center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«Информационная инфраструктура»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функциональные заказчики: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Министерство цифрового развития Республики Дагестан</w:t>
      </w:r>
      <w:r/>
    </w:p>
    <w:p>
      <w:pPr>
        <w:ind w:left="1291" w:right="0" w:hanging="1291"/>
        <w:jc w:val="both"/>
        <w:spacing w:before="0"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 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планируемые к достижению результаты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Р1. </w:t>
      </w:r>
      <w:r>
        <w:rPr>
          <w:rFonts w:ascii="Times New Roman" w:hAnsi="Times New Roman" w:eastAsia="Times New Roman" w:cs="Times New Roman"/>
          <w:i/>
          <w:color w:val="000000"/>
          <w:sz w:val="24"/>
          <w:highlight w:val="white"/>
        </w:rPr>
        <w:t xml:space="preserve">Обеспечение подключения широкополосного доступа к сети «Интернет» социально значимых объектов;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Планируется оказание содействия в обеспечении заключения договоров на оплату услуг для СЗО непосредственно органами власти и учреждениями, в структуре которых находятся объекты СЗО.</w:t>
      </w:r>
      <w:r/>
    </w:p>
    <w:p>
      <w:pPr>
        <w:ind w:left="0" w:right="0" w:firstLine="709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Также, органами государственной власти заключены договора на оказание услуг по доступу к сети «Интернет» социально значимым объектам, в том числе для 964 фельдшерско-акушерских пунктов и 338 администраций сельских поселений.</w:t>
      </w:r>
      <w:r/>
    </w:p>
    <w:p>
      <w:pPr>
        <w:ind w:left="0" w:right="0" w:firstLine="709"/>
        <w:jc w:val="both"/>
        <w:spacing w:after="0" w:line="25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Р2.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Содействие в оказании универсальных услуг связи на территории Российской Федерации, в населенных пунктах с численностью населения от 100 до 500 человек.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25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РФ от 26 марта 2014 года № 437-р обязанности по оказанию универсальных услуг связи возложены на ПАО «Ростелеком»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исполнитель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Минцифры</w:t>
      </w:r>
      <w:r>
        <w:rPr>
          <w:rFonts w:ascii="Times New Roman" w:hAnsi="Times New Roman" w:cs="Times New Roman"/>
          <w:sz w:val="28"/>
          <w:szCs w:val="28"/>
        </w:rPr>
        <w:t xml:space="preserve"> РД в рамках соглашения с </w:t>
      </w:r>
      <w:r>
        <w:rPr>
          <w:rFonts w:ascii="Times New Roman" w:hAnsi="Times New Roman" w:cs="Times New Roman"/>
          <w:sz w:val="28"/>
          <w:szCs w:val="28"/>
        </w:rPr>
        <w:t xml:space="preserve">Минцифр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России, оказывает содействие в реализации мероприятий проекта на территории Республики Дагестан ПАО «Ростелеком», в том числе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выделении земельных участков для размещения антенно-мачтовых сооружений связи для оказания универсальных услуг ПРТС, в своевременном подключении оборудования сети связи, предназначенного для оказа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универсальных услуг ПРТС, к сети энергоснабжения, в своевременном согласовании строительства линейно-кабельных сооружений, необходимых для оказания универсальных услуг ПРТС.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0"/>
        <w:jc w:val="both"/>
        <w:spacing w:before="240" w:after="24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·</w:t>
      </w:r>
      <w:r>
        <w:rPr>
          <w:rFonts w:ascii="Times New Roman" w:hAnsi="Times New Roman" w:eastAsia="Times New Roman" w:cs="Times New Roman"/>
          <w:color w:val="000000"/>
          <w:sz w:val="14"/>
        </w:rPr>
        <w:t xml:space="preserve">       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планируемые к достижению показатели</w:t>
      </w:r>
      <w:r/>
    </w:p>
    <w:tbl>
      <w:tblPr>
        <w:tblStyle w:val="80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7"/>
        <w:gridCol w:w="4455"/>
        <w:gridCol w:w="850"/>
        <w:gridCol w:w="851"/>
        <w:gridCol w:w="992"/>
        <w:gridCol w:w="1559"/>
      </w:tblGrid>
      <w:tr>
        <w:trPr>
          <w:trHeight w:val="4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№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4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Показатели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План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8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Факт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Примечание</w:t>
            </w:r>
            <w:r/>
          </w:p>
        </w:tc>
      </w:tr>
      <w:tr>
        <w:trPr>
          <w:trHeight w:val="120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4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Доля социально значимых объектов, имеющих широкополосный доступ к информационно телекоммуникационной сети «Интернет» в соответствии с утвержденными требованиями, процент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8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•  заключение соглашений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системе «Электронный бюджет» заключено индикативное соглашение от 18 июля 2019 г. № 071-2019-D2001-5, дополнительное соглашение от 12 декабря 2019 г. № 071-2019-D2001-5/1, дополнительное соглашение от 22 декабря 2020 г. № 071-2019-D2001-5/1.1,</w:t>
      </w:r>
      <w:r>
        <w:rPr>
          <w:rFonts w:ascii="Arial" w:hAnsi="Arial" w:eastAsia="Arial" w:cs="Arial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22.12.2020 г. № 071-2019-D2001-5/1.1, от 08.12.2020 г. № 071-2019-D2001-5/2, от 18.11.2021 г. № 071-2019-D2001-5/3, от 03.12.2021 г. № 071-2019-D2001-5/4,  от 30.12.2021 г. № 071-2019-D2001-5/5, от 13.07.2022 г. № 071-2019-D2001-5/6, от 16.08.2022 г.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071-2019-D2001-5/7, от 26.08.2022 г.  № 071-2019-D2001-5/8, от 02.09.2022 г. № 071-2019-D2001-5/9, от 21.11.2022 г. № 071-2019-D2001-5/10 о реализации регионального проекта «Информационная инфраструктура (Республика Дагестан)» на территории Республики Даге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стан; финансовое соглашение от 23.12.2020 года № 071-09-2021-143, дополнительное соглашение от 30.12.2021 года № 071-09-2021-143/1, от 08.02.2022 №071-09-2021-143/2, от 23.03.2022 № 071-09-2021-143/3, от 14.06.2022 № 071-09-2021-143/4, от 25.11.2022 г. № 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71-09-2021-143/5, от 14.12.2022 г. № 071-09-2021-143/6, от 29.12.2022 г. № 071-09-2021-143/7,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от 23.05.2023 г. № 071-2019-D2001-5/12, от 21.12.2022 г. № 071-2019-D2001-5/11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«О предоставлении субсидии из федерального бюджета бюджету субъекта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"Интернет"»; соглашение от 23.12.2020 года № 071-09-2021-083 «О предоставлении субсидии из федерального бюджета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бюджету субъекта Российской Федерации на обеспечение на судебных участках мировых судей защищенного подключения к сети Государственной автоматизированной системы Российской Федерации "Правосудие", а также организации защищенного межведомственного электронн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взаимодействия», дополнительное соглашение от 20.05.2021 № 071-09-2021-083/1, дополнительное соглашение от 27.10.2021 № 071-09-2021-083/2, от 08.12.2021 № 071-09-2021-083/3,</w:t>
      </w:r>
      <w:r>
        <w:rPr>
          <w:rFonts w:ascii="Arial" w:hAnsi="Arial" w:eastAsia="Arial" w:cs="Arial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23.12.2021 № 071-09-2021-083/4, от 30.03.2022 №071-09-2021-083/5, от 02.06.2022 № 071-09-2021-083/6, от 26.08.2022 г. № 071-09-2021-083/7; соглашение о предоставлении ИМБТ от 30.12.2021 года № 071-17-2022-047, дополнительное соглашение от 23.06.2022 № 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71-17-2022-047/1, от 11.08.2022 № 071-17-2022-047/2, от 28.09.2022 г. № 071-17-2022-047/3  на создание и организацию работы Службы «122».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•  бюджет регионального проекта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Всего – 0 млн руб., в том числе: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 – средства федерального бюджета;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 – средства республиканского бюджета.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Кассовое исполнение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– 100 %.</w:t>
      </w:r>
      <w:r/>
    </w:p>
    <w:p>
      <w:pPr>
        <w:ind w:left="0" w:right="0" w:firstLine="70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•  проводимая работа, достигнутые результаты</w:t>
      </w:r>
      <w:r/>
    </w:p>
    <w:p>
      <w:pPr>
        <w:ind w:left="0" w:right="0" w:firstLine="700"/>
        <w:jc w:val="both"/>
        <w:spacing w:after="0" w:line="253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Р2.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Мероприятие реализуется в рамках проекта Устранение цифрового неравенства 2.0. Согласно новыми изменениями от 7 апреля 2020 года ФЗ «О связи» в населенных пунктах с населением 100-500 человек, в которых не оказываются услуги подвижной радиотелефонной связ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(ПРТС), должны быть оборудованы для оказания услуг ПРТС. </w:t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 учетом результатов Всероссийской переписи населения - 2020 в проект УЦН включены 492 населённых пункта Республики Дагестан.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 итогам голосования на портале Госуслуг  план-график подключения на 2023 год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 учетом квоты,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выделенной для Республики Дагестан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включены 76 населенных пунктов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0"/>
        <w:jc w:val="both"/>
        <w:spacing w:after="0" w:line="253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lang w:val="ru-RU"/>
        </w:rPr>
        <w:t xml:space="preserve">Всего 2023 году  на территории населенных пунктов республики введены в эксплуатацию 71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объектов, с помощью которых оказываются услуги ПРТС. При этом строительство и ввод в эксплуатацию объектов связи в 3 населенных пунктах перенесены на 2024 год, а в 2 населенных пунктах исключены из плана-графика подключений.  При этом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оказано содействие оператору универсальных услуг связи ПАО «Ростелеком» в формировании, подписании отчетных материалов об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организации сети подвижной радиотелефонной связи в населенных пунктах Республики Дагестан. кроме того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проработан вопрос о выделении земельных участков для размещения объектов связи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 Главами администрации Чародинского, Гунибского района и Бежтинского участка.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425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   •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   заключение контрактов</w:t>
      </w:r>
      <w:r/>
    </w:p>
    <w:p>
      <w:pPr>
        <w:ind w:left="0" w:right="0" w:firstLine="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   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- заключение контрактов не предусматривается</w:t>
      </w:r>
      <w:r/>
    </w:p>
    <w:p>
      <w:pPr>
        <w:ind w:left="0" w:right="0" w:firstLine="425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   • 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имеющиеся проблемы и сроки их решения</w:t>
      </w:r>
      <w:r/>
    </w:p>
    <w:p>
      <w:pPr>
        <w:ind w:left="0" w:right="0" w:firstLine="36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В связи с возникающими трудностями в горных районах по транспортировке необходимого оборудования и материалов для строительства объектов связи, в соответствии с обращением Дагестанского филиала ПАО «Ростелеком»  рассмотрена возможность переноса срока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дачи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u w:val="none"/>
        </w:rPr>
        <w:t xml:space="preserve">некоторых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базовых станций на территории населенных пунктов Республики Дагестан.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этой связи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на заседании Правительственной комиссии Республики Дагестан  по использованию информационных технологий для формирования экосистеме цифровой экономики от 22 августа</w:t>
        <w:tab/>
        <w:t xml:space="preserve">2023 года, рассмотрен вопрос о ходе реализации мероприятий федерального проекта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«УЦН 2.0». По итогам которого даны рекомендации Главам муниципальных районов Республики Дагестан в части проведения информационно-разъяснительной работы с жителями населенных пунктов по вопросам радиофобии, а также провести анализ состояния электросетевой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инфраструктуры и наличия земельных участков для строительства базовых станций в определенные проектом сроки.</w:t>
      </w:r>
      <w:r>
        <w:rPr>
          <w:highlight w:val="none"/>
        </w:rPr>
      </w:r>
      <w:r/>
    </w:p>
    <w:p>
      <w:pPr>
        <w:ind w:left="0" w:right="0" w:firstLine="360"/>
        <w:jc w:val="both"/>
        <w:spacing w:after="0" w:line="25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Существует проблема радиофобии среди населения, в связи с чем в населенных пунктах граждане устраивают коллективные протесты против установки базовых станций сотовой связи. В ходе таких протестов реализация мероприятий по установке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базовых станций сотовой связи в населенных пунктах  Исоо Цунтинского района и Чарода Чародинского района, перенесена с 2023 года на 2024 год, а населенные пункты Силта Гунибского района и Дарада Гергебильского района исключены из плана-графика подключений.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Также, в связи с отсутствием возможности подключения к постоянному электроснабжению, ввод в эксплуатацию объекта связи на острове Чечень перенесен на 2024 год.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360"/>
        <w:jc w:val="both"/>
        <w:spacing w:after="0" w:line="253" w:lineRule="atLeast"/>
        <w:rPr>
          <w:rFonts w:ascii="Times New Roman" w:hAnsi="Times New Roman" w:cs="Times New Roman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numPr>
          <w:ilvl w:val="0"/>
          <w:numId w:val="21"/>
        </w:numPr>
        <w:ind w:left="720" w:right="0" w:hanging="11"/>
        <w:jc w:val="both"/>
        <w:spacing w:before="0" w:after="0" w:line="253" w:lineRule="atLeast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оставшиеся мероприятия</w:t>
      </w:r>
      <w:r/>
    </w:p>
    <w:p>
      <w:pPr>
        <w:ind w:left="720" w:right="0" w:hanging="11"/>
        <w:jc w:val="both"/>
        <w:spacing w:before="0" w:after="0" w:line="253" w:lineRule="atLeast"/>
        <w:tabs>
          <w:tab w:val="left" w:pos="567" w:leader="none"/>
          <w:tab w:val="left" w:pos="709" w:leader="none"/>
          <w:tab w:val="left" w:pos="993" w:leader="none"/>
          <w:tab w:val="left" w:pos="3161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- отсутствуют</w:t>
      </w:r>
      <w:r>
        <w:rPr>
          <w:rFonts w:ascii="Arial" w:hAnsi="Arial" w:eastAsia="Arial" w:cs="Arial"/>
          <w:color w:val="000000"/>
          <w:sz w:val="22"/>
        </w:rPr>
        <w:tab/>
      </w:r>
      <w:r/>
    </w:p>
    <w:p>
      <w:pPr>
        <w:numPr>
          <w:ilvl w:val="0"/>
          <w:numId w:val="21"/>
        </w:numPr>
        <w:ind w:left="720" w:right="0" w:hanging="11"/>
        <w:jc w:val="both"/>
        <w:spacing w:before="0" w:after="0" w:line="253" w:lineRule="atLeast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участие МО в реализации проекта</w:t>
      </w:r>
      <w:r/>
    </w:p>
    <w:p>
      <w:pPr>
        <w:ind w:left="720" w:right="0" w:hanging="11"/>
        <w:jc w:val="both"/>
        <w:spacing w:before="0" w:after="0" w:line="253" w:lineRule="atLeast"/>
        <w:tabs>
          <w:tab w:val="left" w:pos="567" w:leader="none"/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ab/>
        <w:t xml:space="preserve"> 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 Все МО Республики Дагестан</w:t>
      </w:r>
      <w:r/>
    </w:p>
    <w:p>
      <w:pPr>
        <w:ind w:left="720" w:right="0" w:hanging="11"/>
        <w:spacing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2"/>
        </w:rPr>
        <w:t xml:space="preserve"> </w:t>
      </w:r>
      <w:r/>
    </w:p>
    <w:p>
      <w:pPr>
        <w:ind w:left="0" w:right="0" w:firstLine="0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Style w:val="730"/>
        <w:ind w:left="0" w:right="0" w:firstLine="0"/>
        <w:jc w:val="center"/>
        <w:spacing w:before="0" w:after="0" w:line="460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5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5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7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046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5" w:hanging="360"/>
      </w:pPr>
      <w:rPr>
        <w:rFonts w:hint="default" w:ascii="Symbol" w:hAnsi="Symbol"/>
        <w:sz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0"/>
  </w:num>
  <w:num w:numId="14">
    <w:abstractNumId w:val="10"/>
  </w:num>
  <w:num w:numId="15">
    <w:abstractNumId w:val="11"/>
  </w:num>
  <w:num w:numId="16">
    <w:abstractNumId w:val="12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0">
    <w:name w:val="Plain Table 1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4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8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29" w:default="1">
    <w:name w:val="Normal"/>
    <w:qFormat/>
  </w:style>
  <w:style w:type="paragraph" w:styleId="730">
    <w:name w:val="Heading 1"/>
    <w:basedOn w:val="729"/>
    <w:next w:val="729"/>
    <w:link w:val="77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7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78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8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8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729"/>
    <w:next w:val="729"/>
    <w:link w:val="78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6">
    <w:name w:val="Heading 7"/>
    <w:basedOn w:val="729"/>
    <w:next w:val="729"/>
    <w:link w:val="78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7">
    <w:name w:val="Heading 8"/>
    <w:basedOn w:val="729"/>
    <w:next w:val="729"/>
    <w:link w:val="78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8">
    <w:name w:val="Heading 9"/>
    <w:basedOn w:val="729"/>
    <w:next w:val="729"/>
    <w:link w:val="78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39"/>
    <w:uiPriority w:val="10"/>
    <w:rPr>
      <w:sz w:val="48"/>
      <w:szCs w:val="48"/>
    </w:rPr>
  </w:style>
  <w:style w:type="character" w:styleId="752" w:customStyle="1">
    <w:name w:val="Subtitle Char"/>
    <w:basedOn w:val="739"/>
    <w:uiPriority w:val="11"/>
    <w:rPr>
      <w:sz w:val="24"/>
      <w:szCs w:val="24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character" w:styleId="755" w:customStyle="1">
    <w:name w:val="Header Char"/>
    <w:basedOn w:val="739"/>
    <w:uiPriority w:val="99"/>
  </w:style>
  <w:style w:type="character" w:styleId="756" w:customStyle="1">
    <w:name w:val="Caption Char"/>
    <w:uiPriority w:val="99"/>
  </w:style>
  <w:style w:type="table" w:styleId="757" w:customStyle="1">
    <w:name w:val="Таблица простая 1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21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Таблица простая 3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Таблица простая 4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 простая 5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1 светл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-сетка 2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3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Таблица-сетка 4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Таблица-сетка 5 тем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Таблица-сетка 7 цвет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Список-таблица 1 светлая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Список-таблица 2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Список-таблица 3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Список-таблица 4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Список-таблица 5 тем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Список-таблица 7 цвет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link w:val="730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link w:val="731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link w:val="732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729"/>
    <w:next w:val="729"/>
    <w:link w:val="788"/>
    <w:uiPriority w:val="10"/>
    <w:qFormat/>
    <w:pPr>
      <w:contextualSpacing/>
      <w:spacing w:before="300"/>
    </w:pPr>
    <w:rPr>
      <w:sz w:val="48"/>
      <w:szCs w:val="48"/>
    </w:rPr>
  </w:style>
  <w:style w:type="character" w:styleId="788" w:customStyle="1">
    <w:name w:val="Заголовок Знак"/>
    <w:link w:val="787"/>
    <w:uiPriority w:val="10"/>
    <w:rPr>
      <w:sz w:val="48"/>
      <w:szCs w:val="48"/>
    </w:rPr>
  </w:style>
  <w:style w:type="paragraph" w:styleId="789">
    <w:name w:val="Subtitle"/>
    <w:basedOn w:val="729"/>
    <w:next w:val="729"/>
    <w:link w:val="790"/>
    <w:uiPriority w:val="11"/>
    <w:qFormat/>
    <w:pPr>
      <w:spacing w:before="200"/>
    </w:pPr>
    <w:rPr>
      <w:sz w:val="24"/>
      <w:szCs w:val="24"/>
    </w:rPr>
  </w:style>
  <w:style w:type="character" w:styleId="790" w:customStyle="1">
    <w:name w:val="Подзаголовок Знак"/>
    <w:link w:val="789"/>
    <w:uiPriority w:val="11"/>
    <w:rPr>
      <w:sz w:val="24"/>
      <w:szCs w:val="24"/>
    </w:rPr>
  </w:style>
  <w:style w:type="paragraph" w:styleId="791">
    <w:name w:val="Quote"/>
    <w:basedOn w:val="729"/>
    <w:next w:val="729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29"/>
    <w:next w:val="729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paragraph" w:styleId="795">
    <w:name w:val="Header"/>
    <w:basedOn w:val="729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Верхний колонтитул Знак"/>
    <w:link w:val="795"/>
    <w:uiPriority w:val="99"/>
  </w:style>
  <w:style w:type="paragraph" w:styleId="797">
    <w:name w:val="Footer"/>
    <w:basedOn w:val="729"/>
    <w:link w:val="8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 w:customStyle="1">
    <w:name w:val="Footer Char"/>
    <w:uiPriority w:val="99"/>
  </w:style>
  <w:style w:type="paragraph" w:styleId="799">
    <w:name w:val="Caption"/>
    <w:basedOn w:val="729"/>
    <w:next w:val="72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800" w:customStyle="1">
    <w:name w:val="Нижний колонтитул Знак"/>
    <w:link w:val="797"/>
    <w:uiPriority w:val="99"/>
  </w:style>
  <w:style w:type="table" w:styleId="801">
    <w:name w:val="Table Grid"/>
    <w:basedOn w:val="74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2" w:customStyle="1">
    <w:name w:val="Table Grid Light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3" w:customStyle="1">
    <w:name w:val="Таблица простая 11"/>
    <w:basedOn w:val="74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21"/>
    <w:basedOn w:val="74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 w:customStyle="1">
    <w:name w:val="Таблица простая 3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 w:customStyle="1">
    <w:name w:val="Таблица простая 4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Таблица простая 5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 w:customStyle="1">
    <w:name w:val="Таблица-сетка 1 светл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Таблица-сетка 2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Таблица-сетка 3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Таблица-сетка 4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1" w:customStyle="1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3" w:customStyle="1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5" w:customStyle="1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6" w:customStyle="1">
    <w:name w:val="Таблица-сетка 5 тем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3" w:customStyle="1">
    <w:name w:val="Таблица-сетка 6 цвет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4" w:customStyle="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5" w:customStyle="1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6" w:customStyle="1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7" w:customStyle="1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8" w:customStyle="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9" w:customStyle="1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0" w:customStyle="1">
    <w:name w:val="Таблица-сетка 7 цвет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Список-таблица 1 светлая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Список-таблица 2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1" w:customStyle="1">
    <w:name w:val="Список-таблица 3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Список-таблица 4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Список-таблица 5 тем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Список-таблица 6 цвет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3" w:customStyle="1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4" w:customStyle="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5" w:customStyle="1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6" w:customStyle="1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7" w:customStyle="1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8" w:customStyle="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9" w:customStyle="1">
    <w:name w:val="Список-таблица 7 цветная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8" w:customStyle="1">
    <w:name w:val="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9" w:customStyle="1">
    <w:name w:val="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0" w:customStyle="1">
    <w:name w:val="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1" w:customStyle="1">
    <w:name w:val="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2" w:customStyle="1">
    <w:name w:val="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3" w:customStyle="1">
    <w:name w:val="Bordered &amp; Lined - Accent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Bordered &amp; Lined - Accent 1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5" w:customStyle="1">
    <w:name w:val="Bordered &amp; Lined - Accent 2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6" w:customStyle="1">
    <w:name w:val="Bordered &amp; Lined - Accent 3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7" w:customStyle="1">
    <w:name w:val="Bordered &amp; Lined - Accent 4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8" w:customStyle="1">
    <w:name w:val="Bordered &amp; Lined - Accent 5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9" w:customStyle="1">
    <w:name w:val="Bordered &amp; Lined - Accent 6"/>
    <w:basedOn w:val="74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0" w:customStyle="1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1" w:customStyle="1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2" w:customStyle="1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3" w:customStyle="1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4" w:customStyle="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5" w:customStyle="1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6" w:customStyle="1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563c1" w:themeColor="hyperlink"/>
      <w:u w:val="single"/>
    </w:rPr>
  </w:style>
  <w:style w:type="paragraph" w:styleId="928">
    <w:name w:val="footnote text"/>
    <w:basedOn w:val="729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 w:customStyle="1">
    <w:name w:val="Текст сноски Знак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729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729"/>
    <w:next w:val="729"/>
    <w:uiPriority w:val="39"/>
    <w:unhideWhenUsed/>
    <w:pPr>
      <w:spacing w:after="57"/>
    </w:pPr>
  </w:style>
  <w:style w:type="paragraph" w:styleId="935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36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37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38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39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40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41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42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29"/>
    <w:next w:val="729"/>
    <w:uiPriority w:val="99"/>
    <w:unhideWhenUsed/>
    <w:pPr>
      <w:spacing w:after="0"/>
    </w:pPr>
  </w:style>
  <w:style w:type="paragraph" w:styleId="945">
    <w:name w:val="No Spacing"/>
    <w:basedOn w:val="729"/>
    <w:uiPriority w:val="1"/>
    <w:qFormat/>
    <w:pPr>
      <w:spacing w:after="0" w:line="240" w:lineRule="auto"/>
    </w:pPr>
  </w:style>
  <w:style w:type="paragraph" w:styleId="946">
    <w:name w:val="List Paragraph"/>
    <w:basedOn w:val="72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agestan.digital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Министерство Экономики РД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</dc:creator>
  <cp:lastModifiedBy>Надир Рамазанов</cp:lastModifiedBy>
  <cp:revision>61</cp:revision>
  <dcterms:created xsi:type="dcterms:W3CDTF">2023-05-05T14:42:00Z</dcterms:created>
  <dcterms:modified xsi:type="dcterms:W3CDTF">2024-01-10T11:40:22Z</dcterms:modified>
</cp:coreProperties>
</file>